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val="0"/>
          <w:bCs w:val="0"/>
          <w:sz w:val="32"/>
          <w:szCs w:val="40"/>
          <w:lang w:val="en-US" w:eastAsia="zh-CN"/>
        </w:rPr>
      </w:pPr>
      <w:r>
        <w:rPr>
          <w:rFonts w:hint="eastAsia" w:ascii="宋体" w:hAnsi="宋体" w:eastAsia="宋体" w:cs="宋体"/>
          <w:b/>
          <w:bCs/>
          <w:sz w:val="44"/>
          <w:szCs w:val="52"/>
          <w:lang w:eastAsia="zh-CN"/>
        </w:rPr>
        <w:t>吉林建筑大学创新创业竞赛报备指南</w:t>
      </w:r>
    </w:p>
    <w:p>
      <w:pPr>
        <w:numPr>
          <w:ilvl w:val="0"/>
          <w:numId w:val="0"/>
        </w:numPr>
        <w:ind w:firstLine="640" w:firstLineChars="200"/>
        <w:jc w:val="both"/>
        <w:rPr>
          <w:rFonts w:hint="eastAsia" w:ascii="仿宋" w:hAnsi="仿宋" w:eastAsia="仿宋" w:cs="仿宋"/>
          <w:b w:val="0"/>
          <w:bCs w:val="0"/>
          <w:sz w:val="32"/>
          <w:szCs w:val="40"/>
          <w:lang w:val="en-US" w:eastAsia="zh-CN"/>
        </w:rPr>
      </w:pPr>
    </w:p>
    <w:p>
      <w:pPr>
        <w:numPr>
          <w:ilvl w:val="0"/>
          <w:numId w:val="0"/>
        </w:numPr>
        <w:ind w:firstLine="640" w:firstLineChars="200"/>
        <w:jc w:val="both"/>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竞赛报备是获取参赛信息，统计获奖情况的重要途径，各院部要高度重视竞赛报备工作，如未按照规定报备竞赛，则后期无法进行教师及学生奖励核算。大学生创新创业教育学院于近期总结了各院部在竞赛报备过程中存在的疑惑，现作出如下解析：</w:t>
      </w:r>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一）赛前需提交竞赛申请表、赛事通知、参赛人员信息统计表、预算明细表、安全承诺书、吉林建筑大学大学生创新创业竞赛参赛承诺书，共计6份文件；赛后需提交竞赛总结、获奖情况统计表、实际花销明细表、获奖证书复印件，且国家级竞赛获奖需提交证书扫描件，因此共需要提交4—5份文件。</w:t>
      </w:r>
      <w:bookmarkStart w:id="0" w:name="_GoBack"/>
      <w:bookmarkEnd w:id="0"/>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二）由于参加创新创业竞赛涉及到指导教师及学生奖励事宜，且双创学院需在竞赛开赛前完成竞赛的分级分类评定工作，因此赛前报备材料最晚在比赛开赛一周前提交，赛后报备材料需在竞赛结果公布后第一时间汇总并提交。</w:t>
      </w:r>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三）竞赛活动申请表需写明详细信息，组织单位意见处需要主管创新创业的副院（部）长签字并加盖公章，后由双创学院负责人签字确认方可生效。申请表一式两份，一份由双创学院留存备案，另一份由学院自行保存，以备借款及查阅需要。</w:t>
      </w:r>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四）赛事通知是指赛事官方组委会所发布的竞赛通知，需完整打印并提交，以便于评定竞赛类别级别。赛事组委会可能会发布多条赛事通知，建议全部打印并保存电子版，以备查阅所需信息。注意：赛事通知中需要体现主办单位、比赛日程、赛道设置等核心信息，且需要体现主办单位公章。</w:t>
      </w:r>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（五）参赛人员信息统计表目前还存在填写不规范的情况，主要是在团队参赛还是个人参赛这一概念上有歧义。</w:t>
      </w:r>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如果是学生组成团队参赛，那么指导教师处需合并单元格，以体现该参赛团队指导教师为同一人或同一指导教师团队（指导教师团队需按照第一指导教师、第二指导教师等递减顺序排序）；如果是学生以个人为单位参赛，则分别填写指导教师。参赛人员信息统计表需加盖公章。</w:t>
      </w:r>
    </w:p>
    <w:p>
      <w:pPr>
        <w:numPr>
          <w:ilvl w:val="0"/>
          <w:numId w:val="0"/>
        </w:numPr>
        <w:ind w:firstLine="640" w:firstLineChars="200"/>
        <w:jc w:val="both"/>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若赛事分为不同级别（例如国赛、省赛等），且同一学生或团队始终参赛（例如由省赛晋级到国赛），则不建议在不同级别比赛中更换指导教师，如若更换，根据文件精神，则按照最高竞赛级别确定获奖等级，且只奖励一次。还需强调的是，同一竞赛、同一指导教师最多可指导3名（组）学生参赛。</w:t>
      </w:r>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六）预算明细表需写清楚可能产生花销的项目名称、数量、单价及总金额并加盖公章。根据文件精神，双创学院专项经费仅用于支持重要竞赛、A类竞赛、B类竞赛，且主要支持参赛团队及学生的报名费、会务费、差旅费等开销，竞赛作品材料费等支出可由科研、教改、专业建设等经费支出，不在双创学院支持范围内。</w:t>
      </w:r>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（七）安全承诺书需由指导教师及学生本人签字并加盖学院公章。如比赛无需外出，则无需教师及学生签字，但需在安全承诺书第一页最下方标注“本次比赛无外出”并加盖公章。</w:t>
      </w:r>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（八）竞赛总结应体现赛事重要时间节点、我校师生参与及获奖情况，以及本次竞赛的意义和存在的不足等。获奖情况统计表具体格式与参赛人员信息表相同，但是需要注明所获奖项。</w:t>
      </w:r>
    </w:p>
    <w:p>
      <w:pPr>
        <w:numPr>
          <w:ilvl w:val="0"/>
          <w:numId w:val="0"/>
        </w:numPr>
        <w:ind w:firstLine="640" w:firstLineChars="200"/>
        <w:jc w:val="both"/>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（九）赛前及赛后报备的所有文件均需要提供纸质版以及电子版，且鼓励指导教师本人携带文件来双创学院报备，不鼓励由学生代为报备。</w:t>
      </w:r>
    </w:p>
    <w:p>
      <w:pPr>
        <w:numPr>
          <w:ilvl w:val="0"/>
          <w:numId w:val="0"/>
        </w:numPr>
        <w:jc w:val="right"/>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大学生创新创业教育学院</w:t>
      </w:r>
    </w:p>
    <w:p>
      <w:pPr>
        <w:numPr>
          <w:ilvl w:val="0"/>
          <w:numId w:val="0"/>
        </w:numPr>
        <w:jc w:val="right"/>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2023年5月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zZWE1ZjY4Yjk1ZTNhMTI5N2QxM2I1ZjAxOWRlYzYifQ=="/>
  </w:docVars>
  <w:rsids>
    <w:rsidRoot w:val="3C484B28"/>
    <w:rsid w:val="18EB5A8E"/>
    <w:rsid w:val="1AC528F8"/>
    <w:rsid w:val="2F0A2201"/>
    <w:rsid w:val="329A1CA3"/>
    <w:rsid w:val="35F224C9"/>
    <w:rsid w:val="3C484B28"/>
    <w:rsid w:val="4611325A"/>
    <w:rsid w:val="474E1F99"/>
    <w:rsid w:val="484F38E8"/>
    <w:rsid w:val="4AFB1CF7"/>
    <w:rsid w:val="52184A66"/>
    <w:rsid w:val="5AA951CB"/>
    <w:rsid w:val="6CA65048"/>
    <w:rsid w:val="6D496537"/>
    <w:rsid w:val="6FFA2B57"/>
    <w:rsid w:val="761D1506"/>
    <w:rsid w:val="77FE3F86"/>
    <w:rsid w:val="79926344"/>
    <w:rsid w:val="7B5921FE"/>
    <w:rsid w:val="7E1A0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1442</Words>
  <Characters>1459</Characters>
  <Lines>0</Lines>
  <Paragraphs>0</Paragraphs>
  <TotalTime>18</TotalTime>
  <ScaleCrop>false</ScaleCrop>
  <LinksUpToDate>false</LinksUpToDate>
  <CharactersWithSpaces>1460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2020-10-30T06:45:00Z</dcterms:created>
  <dc:creator>M-Nagasawa</dc:creator>
  <cp:lastModifiedBy>额</cp:lastModifiedBy>
  <cp:lastPrinted>2020-11-06T00:48:00Z</cp:lastPrinted>
  <dcterms:modified xsi:type="dcterms:W3CDTF">2023-05-19T06:26:10Z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21C91C338F9F4955969083C9F89D1AE9_12</vt:lpwstr>
  </property>
</Properties>
</file>